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0D" w:rsidRPr="00D24280" w:rsidRDefault="00BD16DC" w:rsidP="009740F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DB09EF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6 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>к Учетной политике</w:t>
      </w: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Бухгалтерский учет событий после окончания отчетного периода </w:t>
      </w:r>
    </w:p>
    <w:p w:rsidR="00D24280" w:rsidRPr="00D24280" w:rsidRDefault="00D2428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B09EF" w:rsidRPr="00D24280" w:rsidRDefault="00DB09EF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 событиям после окончания отчетного периода относятся: </w:t>
      </w:r>
    </w:p>
    <w:p w:rsidR="00BD16DC" w:rsidRPr="00D24280" w:rsidRDefault="00BD16DC" w:rsidP="009740F4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события, подтверждающие условия, существовавшие на отчетную дату (далее- корректирующие события после окончания отчетного периода); </w:t>
      </w:r>
    </w:p>
    <w:p w:rsidR="00BD16DC" w:rsidRPr="00D24280" w:rsidRDefault="00BD16DC" w:rsidP="009740F4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события, свидетельствующие о возникших после окончания отчетного периода условиях (далее -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некорректирующие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 после окончания отчетного периода).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Отчетной датой считается дата окончания отчетного периода. Дата окончания отчетного периода - это 31 декабря отчетного года. 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Под датой подписания отчетности подразумевается дата, проставленная при подписании бухгалтерской отчетности.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D24280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BD16DC" w:rsidRPr="00D24280">
        <w:rPr>
          <w:rFonts w:ascii="Times New Roman" w:hAnsi="Times New Roman" w:cs="Times New Roman"/>
          <w:sz w:val="24"/>
          <w:szCs w:val="24"/>
          <w:lang w:eastAsia="ru-RU"/>
        </w:rPr>
        <w:t>обытием после отчетной даты признается факт хозяйственной деятельности, который оказал или может оказать влияние на финансовое состояние, движение денежных средств или результаты деятельности организации и который имел место в период между отчетной датой и датой подписания бухгалтерской отчетности за отчетный год.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Корректирующие события после окончания отчетного периода подлежат отражению в бухгалтерском учете в соответствии с </w:t>
      </w:r>
      <w:r w:rsidR="00D24280" w:rsidRPr="00D24280">
        <w:rPr>
          <w:rFonts w:ascii="Times New Roman" w:hAnsi="Times New Roman" w:cs="Times New Roman"/>
          <w:sz w:val="24"/>
          <w:szCs w:val="24"/>
          <w:lang w:eastAsia="ru-RU"/>
        </w:rPr>
        <w:t>требования нормативных документов Банка России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Некорректирующие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 после окончания отчетного периода в бухгалтерском учете не отражаются.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 корректирующим событиям после окончания отчетного периода относятся: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после окончания отчетного периода величины выплат кредиторам в связи с вынесением решения по судебному делу,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подтверждающему наличие у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 обязательства на отчетную дату;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получение информации после окончания отчетного периода, свидетельствующей или об обесценении актива на отчетную дату, или о необходимости корректировки ранее признанного в бухгалтерской (финансовой) отчетности резерва (убытка) от обесценения данного актива, в том числе признание дебиторов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 несостоятельными (банкротами); </w:t>
      </w:r>
    </w:p>
    <w:p w:rsidR="00BD16DC" w:rsidRPr="00D24280" w:rsidRDefault="00D8522F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продажа запасов после отчетной </w:t>
      </w:r>
      <w:r w:rsidR="00BD16DC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даты, показывающая, что расчет цены возможной реализации этих запасов по состоянию на отчетную дату был </w:t>
      </w:r>
      <w:proofErr w:type="spellStart"/>
      <w:r w:rsidR="00BD16DC" w:rsidRPr="00D24280">
        <w:rPr>
          <w:rFonts w:ascii="Times New Roman" w:hAnsi="Times New Roman" w:cs="Times New Roman"/>
          <w:sz w:val="24"/>
          <w:szCs w:val="24"/>
          <w:lang w:eastAsia="ru-RU"/>
        </w:rPr>
        <w:t>необоснован</w:t>
      </w:r>
      <w:proofErr w:type="spellEnd"/>
      <w:r w:rsidR="00BD16DC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после окончания отчетного периода стоимости активов, приобретенных до окончания отчетного периода;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после окончания отчетного периода величины выплат работникам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 по планам (системам) участия в прибыли или их премирования, если по состоянию на отчетную дату у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 имелась обязанность осуществить такие выплаты;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начисления (корректировки, изменения) по налогам и сборам за отчетный период, по которым в соответствии с законодательством Российской Федерации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некредитные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финансовые организации являются налогоплательщиками и плательщиками сборов;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обнаружение после окончания отчетного периода ошибки в бухгалтерском учете, нарушения законодательства Российской Федерации при осуществлении деятельности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 или фактов мошенничества, которые ведут к искажению годовой бухгалтерской (финансовой) отчетности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 и влияют на определение финансового результата;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объявление дивидендов (выплат) по принадлежащим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 акциям (долям, паям);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переоценка основных средств и нематериальных активов по состоянию на конец отчетного года;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после окончания отчетного периода величины выплат в связи с принятием до отчетной даты решения о закрытии структурного подразделения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получение после окончания отчетного периода первичных документов, подтверждающих совершение операций до отчетной даты и (или) определяющих (уточняющих) стоимость работ, услуг, активов по таким операциям, а также уточняющих суммы доходов и расходов, отраженных в бухгалтерском учете, в том числе признание убытков по страховым случаям, наступившим в отчетном периоде; </w:t>
      </w:r>
    </w:p>
    <w:p w:rsidR="00BD16DC" w:rsidRPr="00D24280" w:rsidRDefault="00BD16DC" w:rsidP="009740F4">
      <w:pPr>
        <w:pStyle w:val="a4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сумм отложенных налоговых обязательств и отложенных налоговых активов по налогу на прибыль на конец отчетного периода; </w:t>
      </w: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распределение результата инвестирования пенсионных накоплений и результата размещения средств пенсионных резервов негосударственными пенсионными фондами.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Направление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организацией прибыли на выплату дивидендов, формирование (пополнение) резервного фонда и на иные цели в соответствии с законодательством Российской Федерации по итогам годового отчетного периода не является корректирующим событием.</w:t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некорректирующим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событиям после окончания отчетного года относятся: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приобретение или выбытие дочернего общества после окончания отчетного периода;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соглашение плана по прекращению деятельности;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сделки, связанные с приобретением и выбытием существенных по стоимости активов, классификация активов в качестве предназначенных для продажи;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пожар, авария, стихийное бедствие или другая чрезвычайная ситуация, в результате которой уничтожена существенная часть активов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объявление о крупномасштабной реструктуризации или начало ее реализации;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существенные операции с обыкновенными акциями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организации, принятие решения об эмиссии акций;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существенное изменение стоимости активов или обменных курсов валют;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изменения, внесенные в налоговое законодательство, в том числе изменение налоговых ставок, которые оказывают существенное влияние на текущие и </w:t>
      </w:r>
      <w:proofErr w:type="gram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отложенные налоговые активы</w:t>
      </w:r>
      <w:proofErr w:type="gram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и обязательства;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принятие существенных обязательств или условных обязательств; </w:t>
      </w:r>
    </w:p>
    <w:p w:rsidR="00BD16DC" w:rsidRPr="00D24280" w:rsidRDefault="00BD16DC" w:rsidP="009740F4">
      <w:pPr>
        <w:pStyle w:val="a4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начало существенного судебного разбирательства, связанного исключительно с событиями, произошедшими после окончания отчетного периода. </w:t>
      </w:r>
    </w:p>
    <w:p w:rsidR="00BD16DC" w:rsidRPr="00D24280" w:rsidRDefault="00BD16DC" w:rsidP="009740F4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360" w:firstLine="4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Факты хозяйственной жизни, признаваемые событиями после отчетной даты, подлежат отражению в годовой отчетности при условии их существенности.</w:t>
      </w:r>
    </w:p>
    <w:p w:rsidR="00BD16DC" w:rsidRPr="00D24280" w:rsidRDefault="00BD16DC" w:rsidP="009740F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Соблюдение принципа существенности приводит к отражению в бухгалтерском учете и бухгалтерской отчетности информации, без знания о которой невозможна достоверная оценка пользователями бухгалтерской отчетности финансового состояния, движения денежных средств или результатов деятельности организации. </w:t>
      </w: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Выделяют два критерия существенности событий после отчетной даты (п. 6 ПБУ 7/98):</w:t>
      </w:r>
    </w:p>
    <w:p w:rsidR="00BD16DC" w:rsidRPr="00D24280" w:rsidRDefault="00BD16DC" w:rsidP="009740F4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умалчивание о событии не позволяет достоверно оценить финансовое состояние, движение денег или финансовые результаты деятельности компании;</w:t>
      </w:r>
    </w:p>
    <w:p w:rsidR="00BD16DC" w:rsidRPr="00D24280" w:rsidRDefault="00BD16DC" w:rsidP="009740F4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изменения в отчетности, обусловленные событиями после отчетной даты, превышают уровень существенности, установленный в учетной политике организации.</w:t>
      </w: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16DC" w:rsidRPr="00D24280" w:rsidRDefault="00BD16DC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Критерием существенности </w:t>
      </w:r>
      <w:r w:rsidR="00B90621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для признания события после отчетной даты </w:t>
      </w:r>
      <w:r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признается в денежной оценке</w:t>
      </w:r>
      <w:r w:rsidR="00D8522F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 xml:space="preserve"> равной 2 процента от </w:t>
      </w:r>
      <w:proofErr w:type="spellStart"/>
      <w:r w:rsidR="00D8522F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валюто</w:t>
      </w:r>
      <w:proofErr w:type="spellEnd"/>
      <w:r w:rsidR="00D8522F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-</w:t>
      </w:r>
      <w:r w:rsidR="00B90621" w:rsidRPr="00D8522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баланса.</w:t>
      </w:r>
    </w:p>
    <w:p w:rsidR="00B90621" w:rsidRPr="00D24280" w:rsidRDefault="00B90621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90621" w:rsidRPr="00D24280" w:rsidRDefault="00B90621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Порядок отражения в бухгалтерской отчетности последствий события, совершившегося после отчетной даты: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В первый рабочий день нового года остатки, отраженные на счетах по учету доходов и расходов №№ 710 - 719, подлежат переносу на соответствующие счета по учету доходов и расходов прошлого года БС №№ 720-729.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Корректирующие события после окончания отчетного периода подлежат отражению в бухгалтерском учете на балансовых счетах по учету доходов и расходов прошлого года №№ 720 - 729, а также на балансовых счетах № 10601 «Прирост стоимости имущества при переоценке», № 10603 «Положительная переоценка ценных бумаг, имеющихся в наличии для продажи», № 10605 «Отрицательная переоценка ценных бумаг, имеющихся в наличии для продажи», № 10609 «Увеличение добавочного капитала на отложенный налог на прибыль», № 10610 «Уменьшение добавочного капитала на отложенный налог на прибыль», № 10611 «Прирост стоимости нематериальных активов при переоценке», № 10612 «Уменьшение обязательств (увеличение требований) по выплате долгосрочных вознаграждений работникам по окончании трудовой деятельности при переоценке», № 10613 «Увеличение обязательств (уменьшение требований) по выплате долгосрочных вознаграждений работникам по окончании трудовой деятельности при переоценке», № 10619 «Переоценка инструментов хеджирования потоков денежных средств - положительные разницы», № 10620 «Переоценка инструментов хеджирования потоков денежных средств - отрицательные разницы», № 10622 «Положительная переоценка финансовых активов», № 10623 «Отрицательная переоценка финансовых активов», № 10624 «Переоценка инструментов хеджирования чистой инвестиции в иностранное подразделение положительные разницы», № 10625 «Переоценка инструментов хеджирования чистой инвестиции в иностранное подразделение - отрицательные разницы» на дату выявления, но не позднее даты составления годовой бухгалтерской (финансовой) отчетности.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События после окончания отчетного периода отражаются только в балансе головного офиса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некредитной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финансовой организации, поэтому счета по учету доходов и расходов прошлого года № 720 - 729 в филиалах не ведутся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Если к моменту возникновения необходимости отражения в бухгалтерском учете корректирующего события после окончания отчетного периода операция уже была некорректно отражена бухгалтерскими записями текущего года, то указанные записи текущего года следует отразить соответствующими </w:t>
      </w:r>
      <w:proofErr w:type="spellStart"/>
      <w:r w:rsidRPr="00D24280">
        <w:rPr>
          <w:rFonts w:ascii="Times New Roman" w:hAnsi="Times New Roman" w:cs="Times New Roman"/>
          <w:sz w:val="24"/>
          <w:szCs w:val="24"/>
          <w:lang w:eastAsia="ru-RU"/>
        </w:rPr>
        <w:t>сторнировочными</w:t>
      </w:r>
      <w:proofErr w:type="spellEnd"/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 записями и затем отразить в бухгалтерском учете корректирующее событие после окончания отчетного периода.</w:t>
      </w:r>
    </w:p>
    <w:p w:rsidR="009740F4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На дату подписания годовой бухгалтерской (финансовой) отчетности остатков на счетах № 720 – № 729 быть не должно. 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Перенос остатков с указанных счетов на счет № 708 «Прибыль (убыток) прошлого года» осуществляются следующими бухгалтерскими записями: </w:t>
      </w:r>
    </w:p>
    <w:p w:rsidR="00B90621" w:rsidRPr="00D24280" w:rsidRDefault="00B90621" w:rsidP="009740F4">
      <w:pPr>
        <w:pStyle w:val="a4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неиспользованной прибыли: 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соответствующих счетов по учету доходов по счетам № 720 – № 729. Кредит счета № 70801 «Прибыль прошлого года», 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счета № 70801 «Прибыль прошлого года» Кредит соответствующих счетов по учету расходов по счетам № 720 – № 729.  </w:t>
      </w:r>
    </w:p>
    <w:p w:rsidR="00D24280" w:rsidRPr="00D24280" w:rsidRDefault="00B90621" w:rsidP="009740F4">
      <w:pPr>
        <w:pStyle w:val="a4"/>
        <w:numPr>
          <w:ilvl w:val="1"/>
          <w:numId w:val="3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убытка: </w:t>
      </w:r>
    </w:p>
    <w:p w:rsidR="00D24280" w:rsidRPr="00D24280" w:rsidRDefault="00B90621" w:rsidP="00D24280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Дебет счета № 70802 «Убыток прошлого года» Кредит соответствующих счетов по учету расходов по счетам № 720 – № 729, </w:t>
      </w:r>
    </w:p>
    <w:p w:rsidR="00B90621" w:rsidRPr="00D24280" w:rsidRDefault="00B90621" w:rsidP="00D24280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  <w:lang w:eastAsia="ru-RU"/>
        </w:rPr>
        <w:t>Дебет соответствующих счетов по у</w:t>
      </w:r>
      <w:r w:rsidR="00D24280" w:rsidRPr="00D24280">
        <w:rPr>
          <w:rFonts w:ascii="Times New Roman" w:hAnsi="Times New Roman" w:cs="Times New Roman"/>
          <w:sz w:val="24"/>
          <w:szCs w:val="24"/>
          <w:lang w:eastAsia="ru-RU"/>
        </w:rPr>
        <w:t xml:space="preserve">чету доходов по счетам № 720 – </w:t>
      </w:r>
      <w:r w:rsidRPr="00D24280">
        <w:rPr>
          <w:rFonts w:ascii="Times New Roman" w:hAnsi="Times New Roman" w:cs="Times New Roman"/>
          <w:sz w:val="24"/>
          <w:szCs w:val="24"/>
          <w:lang w:eastAsia="ru-RU"/>
        </w:rPr>
        <w:t>№ 729 Кредит счета № 70802 «Убыток прошлого года».</w:t>
      </w:r>
    </w:p>
    <w:p w:rsidR="00B90621" w:rsidRPr="00D24280" w:rsidRDefault="00B90621" w:rsidP="009740F4">
      <w:pPr>
        <w:pStyle w:val="a4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Порядок отражения зависит от даты поступления документа.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факт хозяйственной жизни произошел в отчетном периоде, 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жаем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отчетности за этот период.</w:t>
      </w:r>
    </w:p>
    <w:p w:rsidR="00B90621" w:rsidRPr="00D24280" w:rsidRDefault="00B90621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учесть первичный документ, поступивший после отчетной даты, могут потребоваться корректировки в регистре учета. Исправлением ошибки это не считается, поскольку без первичного документа операцию нельзя было учесть. Так как другого способа корректировки нет, 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отразить операци</w:t>
      </w:r>
      <w:r w:rsidR="009740F4"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аналогичном исправлению ошибок:</w:t>
      </w:r>
    </w:p>
    <w:p w:rsidR="00B90621" w:rsidRPr="00D24280" w:rsidRDefault="00B90621" w:rsidP="009740F4">
      <w:pPr>
        <w:pStyle w:val="a4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регистре учета на последний день отчетного периода — если первичный документ поступил до даты подписания или принятия отчетности;</w:t>
      </w:r>
    </w:p>
    <w:p w:rsidR="00B90621" w:rsidRPr="00D24280" w:rsidRDefault="00B90621" w:rsidP="009740F4">
      <w:pPr>
        <w:pStyle w:val="a4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регистре учета на текущую дату — если первичный документ поступил после даты подписания или принятия квартальной (месячной) отчетности текущего года;</w:t>
      </w:r>
    </w:p>
    <w:p w:rsidR="00B90621" w:rsidRPr="00D24280" w:rsidRDefault="00B90621" w:rsidP="009740F4">
      <w:pPr>
        <w:pStyle w:val="a5"/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28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отдельном журнале по прочим операциям, аналогично исправлению ошибок прошлых лет, — если первичный документ поступил после даты подписания или принятия годовой отчетности.</w:t>
      </w:r>
      <w:r w:rsidRPr="00D242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40F4" w:rsidRPr="00D24280" w:rsidRDefault="009740F4" w:rsidP="009740F4">
      <w:pPr>
        <w:pStyle w:val="a5"/>
        <w:shd w:val="clear" w:color="auto" w:fill="FFFFFF"/>
        <w:spacing w:after="15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B90621" w:rsidRPr="00D24280" w:rsidRDefault="00B90621" w:rsidP="009740F4">
      <w:pPr>
        <w:pStyle w:val="a5"/>
        <w:numPr>
          <w:ilvl w:val="0"/>
          <w:numId w:val="33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В первый рабочий день нового года остатки, отраженные на счетах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710 «Процентные доходы»,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№ 711 «Процентные расходы»,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712 «Доходы от восстановления и расходы по формированию резервов под обесценение по финансовым активам, приносящим процентный доход»,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№ 713 «Доходы и расходы по пенсионной деятельности»,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714 «Доходы и расходы по страховой деятельности»,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715 «Доходы и расходы (кроме процентных) от операций с финансовыми инструментами и драгоценными металлами»,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716 «Комиссионные доходы и доходы от оказания услуг»,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717 «Доходы и расходы по другим операциям», 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>№ 718 «Доходы и расходы, связанные с обеспечением деятельности»,</w:t>
      </w:r>
    </w:p>
    <w:p w:rsidR="00B90621" w:rsidRPr="00D24280" w:rsidRDefault="00B90621" w:rsidP="009740F4">
      <w:pPr>
        <w:pStyle w:val="a5"/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719 «Налог на прибыль», </w:t>
      </w:r>
    </w:p>
    <w:p w:rsidR="00B90621" w:rsidRPr="00D24280" w:rsidRDefault="00B90621" w:rsidP="009740F4">
      <w:pPr>
        <w:shd w:val="clear" w:color="auto" w:fill="FFFFFF"/>
        <w:tabs>
          <w:tab w:val="left" w:pos="3120"/>
        </w:tabs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подлежат переносу на счета </w:t>
      </w:r>
      <w:r w:rsidRPr="00D24280">
        <w:rPr>
          <w:rFonts w:ascii="Times New Roman" w:hAnsi="Times New Roman" w:cs="Times New Roman"/>
          <w:sz w:val="24"/>
          <w:szCs w:val="24"/>
        </w:rPr>
        <w:tab/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720 «Процентные доходы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721 «Процентные расходы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722 «Доходы от восстановления и расходы по формированию резервов под обесценение по финансовым активам, приносящим процентный доход,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723 «Доходы и расходы по пенсионной деятельности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724 «Доходы и расходы по страховой деятельности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725 «Доходы и расходы (кроме процентных) от операций с финансовыми инструментами и драгоценными металлами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726 «Комиссионные доходы и доходы от оказания услуг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727 «Доходы и расходы по другим операциям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t xml:space="preserve">№ 728 «Доходы и расходы, связанные с обеспечением деятельности прошлого года», </w:t>
      </w:r>
    </w:p>
    <w:p w:rsidR="00B90621" w:rsidRPr="00D24280" w:rsidRDefault="00B90621" w:rsidP="009740F4">
      <w:pPr>
        <w:pStyle w:val="a5"/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hAnsi="Times New Roman" w:cs="Times New Roman"/>
          <w:sz w:val="24"/>
          <w:szCs w:val="24"/>
        </w:rPr>
        <w:t>№ 729 «Налог на прибыль прошлого года».</w:t>
      </w:r>
    </w:p>
    <w:p w:rsidR="00B90621" w:rsidRPr="00D24280" w:rsidRDefault="00B90621" w:rsidP="009740F4">
      <w:pPr>
        <w:pStyle w:val="a4"/>
        <w:ind w:left="17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/>
          <w:bCs/>
          <w:kern w:val="24"/>
        </w:rPr>
      </w:pPr>
    </w:p>
    <w:p w:rsidR="00B90621" w:rsidRPr="00D24280" w:rsidRDefault="00B90621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Cs/>
          <w:kern w:val="24"/>
        </w:rPr>
      </w:pPr>
      <w:r w:rsidRPr="00D24280">
        <w:rPr>
          <w:rFonts w:eastAsiaTheme="minorEastAsia"/>
          <w:bCs/>
          <w:kern w:val="24"/>
        </w:rPr>
        <w:t>Пример проводок в первый рабочий день года, следующего за отчетным – перенос с 71 на 72 счета, то есть закрытие счетов доходов/расходов отчетного года</w:t>
      </w:r>
    </w:p>
    <w:p w:rsidR="009740F4" w:rsidRPr="00D24280" w:rsidRDefault="009740F4" w:rsidP="009740F4">
      <w:pPr>
        <w:pStyle w:val="a7"/>
        <w:spacing w:before="0" w:beforeAutospacing="0" w:after="0" w:afterAutospacing="0"/>
        <w:ind w:left="12" w:firstLine="708"/>
        <w:jc w:val="both"/>
        <w:rPr>
          <w:rFonts w:eastAsiaTheme="minorEastAsia"/>
          <w:bCs/>
          <w:kern w:val="24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794"/>
        <w:gridCol w:w="2233"/>
        <w:gridCol w:w="2216"/>
        <w:gridCol w:w="2508"/>
        <w:gridCol w:w="1143"/>
      </w:tblGrid>
      <w:tr w:rsidR="00D24280" w:rsidRPr="00D24280" w:rsidTr="009740F4">
        <w:tc>
          <w:tcPr>
            <w:tcW w:w="1794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</w:t>
            </w:r>
            <w:proofErr w:type="spellEnd"/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платежа</w:t>
            </w:r>
          </w:p>
        </w:tc>
        <w:tc>
          <w:tcPr>
            <w:tcW w:w="1143" w:type="dxa"/>
          </w:tcPr>
          <w:p w:rsidR="00B90621" w:rsidRPr="00D24280" w:rsidRDefault="009740F4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90621"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умма</w:t>
            </w: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D24280" w:rsidRPr="00D24280" w:rsidTr="009740F4">
        <w:tc>
          <w:tcPr>
            <w:tcW w:w="1794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09.01.2022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71001810%3111801</w:t>
            </w:r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72001810%3111801</w:t>
            </w:r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hAnsi="Times New Roman" w:cs="Times New Roman"/>
                <w:b/>
                <w:sz w:val="24"/>
                <w:szCs w:val="24"/>
              </w:rPr>
              <w:t>СПОД.</w:t>
            </w:r>
            <w:r w:rsidRPr="00D24280">
              <w:rPr>
                <w:rFonts w:ascii="Times New Roman" w:hAnsi="Times New Roman" w:cs="Times New Roman"/>
                <w:sz w:val="24"/>
                <w:szCs w:val="24"/>
              </w:rPr>
              <w:t xml:space="preserve"> Перенос остатков со счетов 710 "Финансовый результат текущего года" на счета 721 "Финансовый результат прошлого года"</w:t>
            </w:r>
          </w:p>
        </w:tc>
        <w:tc>
          <w:tcPr>
            <w:tcW w:w="114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1000 000</w:t>
            </w:r>
          </w:p>
        </w:tc>
      </w:tr>
      <w:tr w:rsidR="00D24280" w:rsidRPr="00D24280" w:rsidTr="009740F4">
        <w:tc>
          <w:tcPr>
            <w:tcW w:w="1794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09.01.2022</w:t>
            </w:r>
          </w:p>
        </w:tc>
        <w:tc>
          <w:tcPr>
            <w:tcW w:w="223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72502810%4140102</w:t>
            </w:r>
          </w:p>
        </w:tc>
        <w:tc>
          <w:tcPr>
            <w:tcW w:w="2216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71502810%4140102</w:t>
            </w:r>
          </w:p>
        </w:tc>
        <w:tc>
          <w:tcPr>
            <w:tcW w:w="2508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280">
              <w:rPr>
                <w:rFonts w:ascii="Times New Roman" w:hAnsi="Times New Roman" w:cs="Times New Roman"/>
                <w:b/>
                <w:sz w:val="24"/>
                <w:szCs w:val="24"/>
              </w:rPr>
              <w:t>СПОД.</w:t>
            </w:r>
            <w:r w:rsidRPr="00D24280">
              <w:rPr>
                <w:rFonts w:ascii="Times New Roman" w:hAnsi="Times New Roman" w:cs="Times New Roman"/>
                <w:sz w:val="24"/>
                <w:szCs w:val="24"/>
              </w:rPr>
              <w:t xml:space="preserve"> Перенос остатков со счетов 715 "Финансовый результат текущего года" на счета 725 "Финансовый результат прошлого года"</w:t>
            </w:r>
          </w:p>
        </w:tc>
        <w:tc>
          <w:tcPr>
            <w:tcW w:w="1143" w:type="dxa"/>
          </w:tcPr>
          <w:p w:rsidR="00B90621" w:rsidRPr="00D24280" w:rsidRDefault="00B90621" w:rsidP="009740F4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620 000</w:t>
            </w:r>
          </w:p>
        </w:tc>
      </w:tr>
    </w:tbl>
    <w:p w:rsidR="009740F4" w:rsidRPr="00D24280" w:rsidRDefault="009740F4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10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90621" w:rsidRPr="00D24280" w:rsidRDefault="009740F4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регистров по отражению операций СПОД</w:t>
      </w:r>
    </w:p>
    <w:p w:rsidR="009740F4" w:rsidRPr="00D24280" w:rsidRDefault="009740F4" w:rsidP="009740F4">
      <w:pPr>
        <w:pStyle w:val="a4"/>
        <w:ind w:left="10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5"/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Учет в разрезе лицевых счетов ведется в регистре по форме прил 10 (Положения 579-П). </w:t>
      </w: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в разрезе лицевых счетов: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1-е операции – перенос остатков со счетов доходов/расходов отчетного года на счета доходов/расходов прошлого года.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Последние операции - формирование счета 708.</w:t>
      </w:r>
    </w:p>
    <w:p w:rsidR="009740F4" w:rsidRPr="00D24280" w:rsidRDefault="009740F4" w:rsidP="009740F4">
      <w:pPr>
        <w:numPr>
          <w:ilvl w:val="0"/>
          <w:numId w:val="25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за каждый день где есть операции СПОД</w:t>
      </w:r>
    </w:p>
    <w:p w:rsidR="00BD16DC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CF108A" wp14:editId="43BA4384">
            <wp:extent cx="5414010" cy="29813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010" cy="2981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5"/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Для учета сводных оборотов по счетам СПОД  применяется форма из 579-П. Составляется по итогам всех операций СПОД.</w:t>
      </w:r>
    </w:p>
    <w:p w:rsidR="009740F4" w:rsidRPr="00D24280" w:rsidRDefault="009740F4" w:rsidP="009740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Составляется в разрезе балансовых счетов по ВСЕМ балансовым счетам.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Столбцы 3-5 = остатки на б/счетах до проводок СПОД.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Столбцы 6-11 = обороты по б/счетам по проводкам СПОД, в </w:t>
      </w:r>
      <w:proofErr w:type="spellStart"/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>. закрытие счетов. доходов/расходов прошлого года и формирование финансового результата (б/счет 708)</w:t>
      </w:r>
    </w:p>
    <w:p w:rsidR="009740F4" w:rsidRPr="00D24280" w:rsidRDefault="009740F4" w:rsidP="009740F4">
      <w:pPr>
        <w:numPr>
          <w:ilvl w:val="0"/>
          <w:numId w:val="26"/>
        </w:numPr>
        <w:ind w:left="10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lastRenderedPageBreak/>
        <w:t xml:space="preserve">Столбцы 12-14 = остатки, скорректированные проводками СПОД </w:t>
      </w:r>
      <w:r w:rsidRPr="00D24280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→</w:t>
      </w:r>
      <w:r w:rsidRPr="00D24280">
        <w:rPr>
          <w:rFonts w:ascii="Times New Roman" w:eastAsiaTheme="minorEastAsia" w:hAnsi="Times New Roman" w:cs="Times New Roman"/>
          <w:kern w:val="24"/>
          <w:sz w:val="24"/>
          <w:szCs w:val="24"/>
          <w:lang w:eastAsia="ru-RU"/>
        </w:rPr>
        <w:t xml:space="preserve"> </w:t>
      </w:r>
      <w:r w:rsidRPr="00D24280">
        <w:rPr>
          <w:rFonts w:ascii="Times New Roman" w:eastAsiaTheme="minorEastAsia" w:hAnsi="Times New Roman" w:cs="Times New Roman"/>
          <w:i/>
          <w:iCs/>
          <w:kern w:val="24"/>
          <w:sz w:val="24"/>
          <w:szCs w:val="24"/>
          <w:lang w:eastAsia="ru-RU"/>
        </w:rPr>
        <w:t>для составления годовой отчетности (баланс).</w:t>
      </w: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40F4" w:rsidRPr="00D24280" w:rsidRDefault="009740F4" w:rsidP="009740F4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242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BD006F" wp14:editId="7CC68839">
            <wp:extent cx="4828540" cy="4566285"/>
            <wp:effectExtent l="0" t="0" r="0" b="571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40" cy="456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136" w:rsidRPr="00D24280" w:rsidRDefault="004A5136" w:rsidP="009740F4">
      <w:pPr>
        <w:tabs>
          <w:tab w:val="left" w:pos="31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64F41B" wp14:editId="26F5A453">
            <wp:extent cx="609600" cy="37782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136" w:rsidRPr="00D24280" w:rsidRDefault="004A5136" w:rsidP="009740F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5136" w:rsidRPr="00D24280" w:rsidRDefault="004A5136" w:rsidP="009740F4">
      <w:pPr>
        <w:jc w:val="both"/>
        <w:rPr>
          <w:rFonts w:ascii="Times New Roman" w:hAnsi="Times New Roman" w:cs="Times New Roman"/>
          <w:sz w:val="24"/>
          <w:szCs w:val="24"/>
        </w:rPr>
      </w:pPr>
      <w:r w:rsidRPr="00D24280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A4B02" w:rsidRPr="00D24280" w:rsidRDefault="00FA4B02" w:rsidP="009740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A4B02" w:rsidRPr="00D24280" w:rsidSect="009740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C16D1"/>
    <w:multiLevelType w:val="multilevel"/>
    <w:tmpl w:val="18C0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87C44"/>
    <w:multiLevelType w:val="hybridMultilevel"/>
    <w:tmpl w:val="3E9C3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D66F7"/>
    <w:multiLevelType w:val="multilevel"/>
    <w:tmpl w:val="A7FE4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776061"/>
    <w:multiLevelType w:val="multilevel"/>
    <w:tmpl w:val="4D62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33BA3"/>
    <w:multiLevelType w:val="multilevel"/>
    <w:tmpl w:val="322A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5465462"/>
    <w:multiLevelType w:val="hybridMultilevel"/>
    <w:tmpl w:val="E83608A4"/>
    <w:lvl w:ilvl="0" w:tplc="C96CB2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148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6A65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72B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A640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EE69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A0A8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0E5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0B5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8965EBF"/>
    <w:multiLevelType w:val="multilevel"/>
    <w:tmpl w:val="32F0ABE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7">
    <w:nsid w:val="1C9C5537"/>
    <w:multiLevelType w:val="multilevel"/>
    <w:tmpl w:val="D7A6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3925CC4"/>
    <w:multiLevelType w:val="multilevel"/>
    <w:tmpl w:val="05668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4A34447"/>
    <w:multiLevelType w:val="hybridMultilevel"/>
    <w:tmpl w:val="1CE832D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25710694"/>
    <w:multiLevelType w:val="hybridMultilevel"/>
    <w:tmpl w:val="F704E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CB3601"/>
    <w:multiLevelType w:val="multilevel"/>
    <w:tmpl w:val="25B8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9D225FA"/>
    <w:multiLevelType w:val="multilevel"/>
    <w:tmpl w:val="27F64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1F7B50"/>
    <w:multiLevelType w:val="hybridMultilevel"/>
    <w:tmpl w:val="1696FA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C6AC4"/>
    <w:multiLevelType w:val="multilevel"/>
    <w:tmpl w:val="3C8E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696AAC"/>
    <w:multiLevelType w:val="multilevel"/>
    <w:tmpl w:val="1B80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703089"/>
    <w:multiLevelType w:val="multilevel"/>
    <w:tmpl w:val="87DE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784253"/>
    <w:multiLevelType w:val="multilevel"/>
    <w:tmpl w:val="52DE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AE938E9"/>
    <w:multiLevelType w:val="multilevel"/>
    <w:tmpl w:val="227C4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210062"/>
    <w:multiLevelType w:val="multilevel"/>
    <w:tmpl w:val="D1E26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A939C8"/>
    <w:multiLevelType w:val="hybridMultilevel"/>
    <w:tmpl w:val="DCAE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275FF"/>
    <w:multiLevelType w:val="hybridMultilevel"/>
    <w:tmpl w:val="B100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915C52"/>
    <w:multiLevelType w:val="hybridMultilevel"/>
    <w:tmpl w:val="09B02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082A50"/>
    <w:multiLevelType w:val="multilevel"/>
    <w:tmpl w:val="EAA6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F716C8C"/>
    <w:multiLevelType w:val="hybridMultilevel"/>
    <w:tmpl w:val="004A8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571C47"/>
    <w:multiLevelType w:val="hybridMultilevel"/>
    <w:tmpl w:val="01D00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8F33C31"/>
    <w:multiLevelType w:val="multilevel"/>
    <w:tmpl w:val="C67C0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A5419DB"/>
    <w:multiLevelType w:val="hybridMultilevel"/>
    <w:tmpl w:val="4314E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A114AA"/>
    <w:multiLevelType w:val="hybridMultilevel"/>
    <w:tmpl w:val="59CA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610D56"/>
    <w:multiLevelType w:val="hybridMultilevel"/>
    <w:tmpl w:val="9C585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34206A"/>
    <w:multiLevelType w:val="hybridMultilevel"/>
    <w:tmpl w:val="6FFE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683098"/>
    <w:multiLevelType w:val="multilevel"/>
    <w:tmpl w:val="FA04F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BB943DA"/>
    <w:multiLevelType w:val="hybridMultilevel"/>
    <w:tmpl w:val="8C30AA7E"/>
    <w:lvl w:ilvl="0" w:tplc="2B7CA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8091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62F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A8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BC8A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48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72D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264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98F6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CBF116D"/>
    <w:multiLevelType w:val="hybridMultilevel"/>
    <w:tmpl w:val="8068A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4"/>
  </w:num>
  <w:num w:numId="4">
    <w:abstractNumId w:val="31"/>
  </w:num>
  <w:num w:numId="5">
    <w:abstractNumId w:val="2"/>
  </w:num>
  <w:num w:numId="6">
    <w:abstractNumId w:val="7"/>
  </w:num>
  <w:num w:numId="7">
    <w:abstractNumId w:val="23"/>
  </w:num>
  <w:num w:numId="8">
    <w:abstractNumId w:val="11"/>
  </w:num>
  <w:num w:numId="9">
    <w:abstractNumId w:val="12"/>
  </w:num>
  <w:num w:numId="10">
    <w:abstractNumId w:val="17"/>
  </w:num>
  <w:num w:numId="11">
    <w:abstractNumId w:val="14"/>
  </w:num>
  <w:num w:numId="12">
    <w:abstractNumId w:val="18"/>
  </w:num>
  <w:num w:numId="13">
    <w:abstractNumId w:val="16"/>
  </w:num>
  <w:num w:numId="14">
    <w:abstractNumId w:val="15"/>
  </w:num>
  <w:num w:numId="15">
    <w:abstractNumId w:val="3"/>
  </w:num>
  <w:num w:numId="16">
    <w:abstractNumId w:val="19"/>
  </w:num>
  <w:num w:numId="17">
    <w:abstractNumId w:val="22"/>
  </w:num>
  <w:num w:numId="18">
    <w:abstractNumId w:val="21"/>
  </w:num>
  <w:num w:numId="19">
    <w:abstractNumId w:val="25"/>
  </w:num>
  <w:num w:numId="20">
    <w:abstractNumId w:val="10"/>
  </w:num>
  <w:num w:numId="21">
    <w:abstractNumId w:val="1"/>
  </w:num>
  <w:num w:numId="22">
    <w:abstractNumId w:val="28"/>
  </w:num>
  <w:num w:numId="23">
    <w:abstractNumId w:val="0"/>
  </w:num>
  <w:num w:numId="24">
    <w:abstractNumId w:val="24"/>
  </w:num>
  <w:num w:numId="25">
    <w:abstractNumId w:val="5"/>
  </w:num>
  <w:num w:numId="26">
    <w:abstractNumId w:val="32"/>
  </w:num>
  <w:num w:numId="27">
    <w:abstractNumId w:val="30"/>
  </w:num>
  <w:num w:numId="28">
    <w:abstractNumId w:val="33"/>
  </w:num>
  <w:num w:numId="29">
    <w:abstractNumId w:val="29"/>
  </w:num>
  <w:num w:numId="30">
    <w:abstractNumId w:val="20"/>
  </w:num>
  <w:num w:numId="31">
    <w:abstractNumId w:val="27"/>
  </w:num>
  <w:num w:numId="32">
    <w:abstractNumId w:val="13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EB"/>
    <w:rsid w:val="00017EBC"/>
    <w:rsid w:val="000A2FCD"/>
    <w:rsid w:val="00145F9B"/>
    <w:rsid w:val="0019752E"/>
    <w:rsid w:val="001F68C4"/>
    <w:rsid w:val="002231B8"/>
    <w:rsid w:val="00261115"/>
    <w:rsid w:val="00356419"/>
    <w:rsid w:val="003F586E"/>
    <w:rsid w:val="004017F3"/>
    <w:rsid w:val="004A5136"/>
    <w:rsid w:val="004D63DB"/>
    <w:rsid w:val="00592D24"/>
    <w:rsid w:val="006722DC"/>
    <w:rsid w:val="007243E3"/>
    <w:rsid w:val="0079018F"/>
    <w:rsid w:val="007A4151"/>
    <w:rsid w:val="007D78BD"/>
    <w:rsid w:val="00833507"/>
    <w:rsid w:val="009740F4"/>
    <w:rsid w:val="00A5372B"/>
    <w:rsid w:val="00A94AEB"/>
    <w:rsid w:val="00B07064"/>
    <w:rsid w:val="00B1203E"/>
    <w:rsid w:val="00B16159"/>
    <w:rsid w:val="00B90621"/>
    <w:rsid w:val="00BC0388"/>
    <w:rsid w:val="00BD16DC"/>
    <w:rsid w:val="00C422AD"/>
    <w:rsid w:val="00D24280"/>
    <w:rsid w:val="00D4129B"/>
    <w:rsid w:val="00D8522F"/>
    <w:rsid w:val="00DA0115"/>
    <w:rsid w:val="00DB09EF"/>
    <w:rsid w:val="00DC3552"/>
    <w:rsid w:val="00ED2172"/>
    <w:rsid w:val="00F10F0D"/>
    <w:rsid w:val="00F245DC"/>
    <w:rsid w:val="00F50549"/>
    <w:rsid w:val="00F62B4F"/>
    <w:rsid w:val="00FA4B02"/>
    <w:rsid w:val="00FE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0B3E2-658D-457B-B87D-0B117453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4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5372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D78BD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722D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FA4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2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33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728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1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8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80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22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5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4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1298">
                      <w:marLeft w:val="0"/>
                      <w:marRight w:val="0"/>
                      <w:marTop w:val="6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565203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3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549796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639587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97594">
                          <w:marLeft w:val="255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181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917">
                      <w:marLeft w:val="0"/>
                      <w:marRight w:val="0"/>
                      <w:marTop w:val="15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4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05223">
                          <w:marLeft w:val="0"/>
                          <w:marRight w:val="0"/>
                          <w:marTop w:val="345"/>
                          <w:marBottom w:val="210"/>
                          <w:divBdr>
                            <w:top w:val="single" w:sz="6" w:space="11" w:color="C1BAB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59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530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24078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29333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68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69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109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5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26523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2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02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2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698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7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5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1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437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36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3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05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3944">
          <w:marLeft w:val="525"/>
          <w:marRight w:val="525"/>
          <w:marTop w:val="1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969">
          <w:marLeft w:val="0"/>
          <w:marRight w:val="0"/>
          <w:marTop w:val="9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9552">
              <w:marLeft w:val="0"/>
              <w:marRight w:val="0"/>
              <w:marTop w:val="30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921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2195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538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6172">
          <w:marLeft w:val="525"/>
          <w:marRight w:val="525"/>
          <w:marTop w:val="12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042">
          <w:marLeft w:val="0"/>
          <w:marRight w:val="0"/>
          <w:marTop w:val="9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3991">
              <w:marLeft w:val="0"/>
              <w:marRight w:val="0"/>
              <w:marTop w:val="30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108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9062">
          <w:marLeft w:val="0"/>
          <w:marRight w:val="0"/>
          <w:marTop w:val="0"/>
          <w:marBottom w:val="0"/>
          <w:divBdr>
            <w:top w:val="single" w:sz="6" w:space="19" w:color="FF9718"/>
            <w:left w:val="single" w:sz="6" w:space="19" w:color="FF9718"/>
            <w:bottom w:val="single" w:sz="6" w:space="19" w:color="FF9718"/>
            <w:right w:val="single" w:sz="6" w:space="19" w:color="FF9718"/>
          </w:divBdr>
          <w:divsChild>
            <w:div w:id="180735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4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974096">
              <w:marLeft w:val="0"/>
              <w:marRight w:val="0"/>
              <w:marTop w:val="0"/>
              <w:marBottom w:val="0"/>
              <w:divBdr>
                <w:top w:val="single" w:sz="6" w:space="31" w:color="CCCCCC"/>
                <w:left w:val="single" w:sz="6" w:space="24" w:color="CCCCCC"/>
                <w:bottom w:val="single" w:sz="6" w:space="23" w:color="CCCCCC"/>
                <w:right w:val="single" w:sz="6" w:space="19" w:color="CCCCCC"/>
              </w:divBdr>
              <w:divsChild>
                <w:div w:id="97795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86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6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7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1253612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236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2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942475">
                          <w:marLeft w:val="0"/>
                          <w:marRight w:val="30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3762009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300358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386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9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099402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68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7897548">
                      <w:marLeft w:val="0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9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7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9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901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481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625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2053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6</cp:revision>
  <dcterms:created xsi:type="dcterms:W3CDTF">2021-12-06T19:47:00Z</dcterms:created>
  <dcterms:modified xsi:type="dcterms:W3CDTF">2022-06-15T11:44:00Z</dcterms:modified>
</cp:coreProperties>
</file>